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90" w:right="-60" w:firstLine="0"/>
        <w:jc w:val="center"/>
        <w:rPr>
          <w:rFonts w:ascii="Times New Roman" w:cs="Times New Roman" w:eastAsia="Times New Roman" w:hAnsi="Times New Roman"/>
          <w:b w:val="1"/>
          <w:bCs w:val="1"/>
          <w:sz w:val="24"/>
          <w:szCs w:val="24"/>
        </w:rPr>
      </w:pPr>
      <w:sdt>
        <w:sdtPr>
          <w:id w:val="-1299278995"/>
          <w:tag w:val="goog_rdk_0"/>
        </w:sdtPr>
        <w:sdtContent>
          <w:r w:rsidDel="00000000" w:rsidR="00000000" w:rsidRPr="00000000">
            <w:rPr>
              <w:rFonts w:ascii="Tahoma" w:cs="Tahoma" w:eastAsia="Tahoma" w:hAnsi="Tahoma"/>
              <w:b w:val="1"/>
              <w:bCs w:val="1"/>
              <w:sz w:val="24"/>
              <w:szCs w:val="24"/>
              <w:rtl w:val="0"/>
            </w:rPr>
            <w:t xml:space="preserve">Հունգարիայի Պիտեր Պազմանի անվան Կաթոլիկ Համալսարանի հայագիտության ամբիոնն առաջարկում է բակալավրի և մագիստրոսի կրթական ծրագրեր  մասնագիտությամբ պատմաբանություն (հայագիտության ուղղությամբ)</w:t>
          </w:r>
        </w:sdtContent>
      </w:sdt>
    </w:p>
    <w:p w:rsidR="00000000" w:rsidDel="00000000" w:rsidP="00000000" w:rsidRDefault="00000000" w:rsidRPr="00000000" w14:paraId="00000002">
      <w:pPr>
        <w:spacing w:after="240" w:before="240" w:lineRule="auto"/>
        <w:ind w:left="-90" w:right="-60" w:firstLine="0"/>
        <w:jc w:val="both"/>
        <w:rPr>
          <w:rFonts w:ascii="Times New Roman" w:cs="Times New Roman" w:eastAsia="Times New Roman" w:hAnsi="Times New Roman"/>
          <w:sz w:val="24"/>
          <w:szCs w:val="24"/>
        </w:rPr>
      </w:pPr>
      <w:sdt>
        <w:sdtPr>
          <w:id w:val="-2056533528"/>
          <w:tag w:val="goog_rdk_1"/>
        </w:sdtPr>
        <w:sdtContent>
          <w:r w:rsidDel="00000000" w:rsidR="00000000" w:rsidRPr="00000000">
            <w:rPr>
              <w:rFonts w:ascii="Tahoma" w:cs="Tahoma" w:eastAsia="Tahoma" w:hAnsi="Tahoma"/>
              <w:sz w:val="24"/>
              <w:szCs w:val="24"/>
              <w:rtl w:val="0"/>
            </w:rPr>
            <w:t xml:space="preserve">Բուդապեստի Պետեր Պազմանի անվան կաթոլիկ համալսարանի հայագիտության ամբիոնը  առաջարկում է բակալավրի եռամյա և մագիստրոսի երկամյա կրթական ծրագրեր մասնագիտությամբ պատմաբանություն (հայագիտության ուղղությամբ)։ Ուսուցման լեզուն </w:t>
          </w:r>
        </w:sdtContent>
      </w:sdt>
      <w:sdt>
        <w:sdtPr>
          <w:id w:val="-1107689573"/>
          <w:tag w:val="goog_rdk_2"/>
        </w:sdtPr>
        <w:sdtContent>
          <w:r w:rsidDel="00000000" w:rsidR="00000000" w:rsidRPr="00000000">
            <w:rPr>
              <w:rFonts w:ascii="Tahoma" w:cs="Tahoma" w:eastAsia="Tahoma" w:hAnsi="Tahoma"/>
              <w:b w:val="1"/>
              <w:bCs w:val="1"/>
              <w:sz w:val="24"/>
              <w:szCs w:val="24"/>
              <w:rtl w:val="0"/>
            </w:rPr>
            <w:t xml:space="preserve">անգլերենն</w:t>
          </w:r>
        </w:sdtContent>
      </w:sdt>
      <w:sdt>
        <w:sdtPr>
          <w:id w:val="1153387282"/>
          <w:tag w:val="goog_rdk_3"/>
        </w:sdtPr>
        <w:sdtContent>
          <w:r w:rsidDel="00000000" w:rsidR="00000000" w:rsidRPr="00000000">
            <w:rPr>
              <w:rFonts w:ascii="Tahoma" w:cs="Tahoma" w:eastAsia="Tahoma" w:hAnsi="Tahoma"/>
              <w:sz w:val="24"/>
              <w:szCs w:val="24"/>
              <w:rtl w:val="0"/>
            </w:rPr>
            <w:t xml:space="preserve"> է։ Ծրագիրն առաջարկում է միջառարկայական ուսուցում պատմության ոլորտում՝ գլոբալ և հայկական հեռանկարների հատուկ ուղղվածությամբ՝ նախապատրաստելով ուսանողներին մի շարք մասնագիտական ուղիների, ներառյալ՝ կառավարության, միջազգային հարաբերությունների, ակադեմիական աշխատանքի, կրթության, իրավունքի, գրադարանավարության և արխիվային աշխատանքի ոլորտները: Միջազգային պրոֆեսորադասախոսական կազմի դասավանդման ներքո ուսանողները հնարավորություն կունենան բարելավելու արևելահայերենի, արևմտահայերենի և գրաբարի հմտությունները, ինչպես նաև մասնագիտանալու ազգային և անդրազգային պատմագրության, սոցիալական մարդաբանության, գրականության, թարգմանության, սփյուռքագիտության և մի շարք այլ բնագավարներում։ Համաշխարհային պատմության դասընթացներն իրենց հերթին ուսանողներին հնարավորություն կտան մարդկության պատմությունը դիտարկելու որպես տնտեսական, մշակութային, քաղաքական և տեխնոլոգիական փոխկապակցվածության շարունակական գործընթաց: Հիմնվելով միջառարկայական մոտեցման վրա՝ ծրագիրը նպատակ ունի զարգացնել հետազոտական ​​հմտությունները, վերլուծական մտածողությունը և քննադատական ​​մտածողությունը, որոնք առանցքային դեր ունեն կարիերայի վերոնշյալ բոլոր ուղիների համար:</w:t>
          </w:r>
        </w:sdtContent>
      </w:sdt>
    </w:p>
    <w:p w:rsidR="00000000" w:rsidDel="00000000" w:rsidP="00000000" w:rsidRDefault="00000000" w:rsidRPr="00000000" w14:paraId="00000003">
      <w:pPr>
        <w:spacing w:after="240" w:before="240" w:lineRule="auto"/>
        <w:ind w:left="-90" w:right="-60" w:firstLine="0"/>
        <w:jc w:val="both"/>
        <w:rPr>
          <w:rFonts w:ascii="Times New Roman" w:cs="Times New Roman" w:eastAsia="Times New Roman" w:hAnsi="Times New Roman"/>
          <w:sz w:val="24"/>
          <w:szCs w:val="24"/>
        </w:rPr>
      </w:pPr>
      <w:sdt>
        <w:sdtPr>
          <w:id w:val="1104311959"/>
          <w:tag w:val="goog_rdk_4"/>
        </w:sdtPr>
        <w:sdtContent>
          <w:r w:rsidDel="00000000" w:rsidR="00000000" w:rsidRPr="00000000">
            <w:rPr>
              <w:rFonts w:ascii="Tahoma" w:cs="Tahoma" w:eastAsia="Tahoma" w:hAnsi="Tahoma"/>
              <w:sz w:val="24"/>
              <w:szCs w:val="24"/>
              <w:rtl w:val="0"/>
            </w:rPr>
            <w:t xml:space="preserve">Մանրամասների համար, անցեք հետևյալ </w:t>
          </w:r>
        </w:sdtContent>
      </w:sdt>
      <w:hyperlink r:id="rId7">
        <w:r w:rsidDel="00000000" w:rsidR="00000000" w:rsidRPr="00000000">
          <w:rPr>
            <w:rFonts w:ascii="Times New Roman" w:cs="Times New Roman" w:eastAsia="Times New Roman" w:hAnsi="Times New Roman"/>
            <w:color w:val="0000ff"/>
            <w:sz w:val="24"/>
            <w:szCs w:val="24"/>
            <w:u w:val="single"/>
            <w:rtl w:val="0"/>
          </w:rPr>
          <w:t xml:space="preserve">հղումով</w:t>
        </w:r>
      </w:hyperlink>
      <w:r w:rsidDel="00000000" w:rsidR="00000000" w:rsidRPr="00000000">
        <w:rPr>
          <w:rtl w:val="0"/>
        </w:rPr>
      </w:r>
    </w:p>
    <w:p w:rsidR="00000000" w:rsidDel="00000000" w:rsidP="00000000" w:rsidRDefault="00000000" w:rsidRPr="00000000" w14:paraId="00000004">
      <w:pPr>
        <w:spacing w:after="240" w:before="240" w:lineRule="auto"/>
        <w:ind w:left="-90" w:right="-60" w:firstLine="0"/>
        <w:jc w:val="both"/>
        <w:rPr>
          <w:rFonts w:ascii="Times New Roman" w:cs="Times New Roman" w:eastAsia="Times New Roman" w:hAnsi="Times New Roman"/>
          <w:i w:val="1"/>
          <w:iCs w:val="1"/>
          <w:sz w:val="24"/>
          <w:szCs w:val="24"/>
        </w:rPr>
      </w:pPr>
      <w:sdt>
        <w:sdtPr>
          <w:id w:val="-385418634"/>
          <w:tag w:val="goog_rdk_5"/>
        </w:sdtPr>
        <w:sdtContent>
          <w:r w:rsidDel="00000000" w:rsidR="00000000" w:rsidRPr="00000000">
            <w:rPr>
              <w:rFonts w:ascii="Tahoma" w:cs="Tahoma" w:eastAsia="Tahoma" w:hAnsi="Tahoma"/>
              <w:i w:val="1"/>
              <w:iCs w:val="1"/>
              <w:sz w:val="24"/>
              <w:szCs w:val="24"/>
              <w:rtl w:val="0"/>
            </w:rPr>
            <w:t xml:space="preserve">Ծրագիրը Ձեզ համար է, եթե…</w:t>
          </w:r>
        </w:sdtContent>
      </w:sdt>
    </w:p>
    <w:p w:rsidR="00000000" w:rsidDel="00000000" w:rsidP="00000000" w:rsidRDefault="00000000" w:rsidRPr="00000000" w14:paraId="00000005">
      <w:pPr>
        <w:spacing w:after="240" w:before="240" w:lineRule="auto"/>
        <w:ind w:left="-90" w:right="-60" w:firstLine="0"/>
        <w:jc w:val="both"/>
        <w:rPr>
          <w:rFonts w:ascii="Times New Roman" w:cs="Times New Roman" w:eastAsia="Times New Roman" w:hAnsi="Times New Roman"/>
          <w:sz w:val="24"/>
          <w:szCs w:val="24"/>
        </w:rPr>
      </w:pPr>
      <w:sdt>
        <w:sdtPr>
          <w:id w:val="-1533653940"/>
          <w:tag w:val="goog_rdk_6"/>
        </w:sdtPr>
        <w:sdtContent>
          <w:r w:rsidDel="00000000" w:rsidR="00000000" w:rsidRPr="00000000">
            <w:rPr>
              <w:rFonts w:ascii="Tahoma" w:cs="Tahoma" w:eastAsia="Tahoma" w:hAnsi="Tahoma"/>
              <w:sz w:val="24"/>
              <w:szCs w:val="24"/>
              <w:rtl w:val="0"/>
            </w:rPr>
            <w:t xml:space="preserve">• Ձգտում ունեք ավելի լավ հասկանալու համաշխարհային պատմության, ինչպես նաև ժամանակակից քաղաքական և աշխարհաքաղաքական գործընթացների պատճառահետևանքային հարաբերությունները,</w:t>
          </w:r>
        </w:sdtContent>
      </w:sdt>
    </w:p>
    <w:p w:rsidR="00000000" w:rsidDel="00000000" w:rsidP="00000000" w:rsidRDefault="00000000" w:rsidRPr="00000000" w14:paraId="00000006">
      <w:pPr>
        <w:spacing w:after="240" w:before="240" w:lineRule="auto"/>
        <w:ind w:left="-90" w:right="-60" w:firstLine="0"/>
        <w:jc w:val="both"/>
        <w:rPr>
          <w:rFonts w:ascii="Times New Roman" w:cs="Times New Roman" w:eastAsia="Times New Roman" w:hAnsi="Times New Roman"/>
          <w:sz w:val="24"/>
          <w:szCs w:val="24"/>
        </w:rPr>
      </w:pPr>
      <w:sdt>
        <w:sdtPr>
          <w:id w:val="-1634804425"/>
          <w:tag w:val="goog_rdk_7"/>
        </w:sdtPr>
        <w:sdtContent>
          <w:r w:rsidDel="00000000" w:rsidR="00000000" w:rsidRPr="00000000">
            <w:rPr>
              <w:rFonts w:ascii="Tahoma" w:cs="Tahoma" w:eastAsia="Tahoma" w:hAnsi="Tahoma"/>
              <w:sz w:val="24"/>
              <w:szCs w:val="24"/>
              <w:rtl w:val="0"/>
            </w:rPr>
            <w:t xml:space="preserve">• Ցանկանում եք զարգացնել կամ կատարելագործել քննադատական ​​մտածողության հմտությունները և սովորել օբյեկտիվորեն գնահատել աղբյուրների հավաստիությունը՝ հմտություն, որն անփոխարինելի է ժամանակակից տեղեկատվական հասարակության մեջ,</w:t>
          </w:r>
        </w:sdtContent>
      </w:sdt>
    </w:p>
    <w:p w:rsidR="00000000" w:rsidDel="00000000" w:rsidP="00000000" w:rsidRDefault="00000000" w:rsidRPr="00000000" w14:paraId="00000007">
      <w:pPr>
        <w:spacing w:after="240" w:before="240" w:lineRule="auto"/>
        <w:ind w:left="-90" w:right="-60" w:firstLine="0"/>
        <w:jc w:val="both"/>
        <w:rPr>
          <w:rFonts w:ascii="Times New Roman" w:cs="Times New Roman" w:eastAsia="Times New Roman" w:hAnsi="Times New Roman"/>
          <w:sz w:val="24"/>
          <w:szCs w:val="24"/>
        </w:rPr>
      </w:pPr>
      <w:sdt>
        <w:sdtPr>
          <w:id w:val="214738646"/>
          <w:tag w:val="goog_rdk_8"/>
        </w:sdtPr>
        <w:sdtContent>
          <w:r w:rsidDel="00000000" w:rsidR="00000000" w:rsidRPr="00000000">
            <w:rPr>
              <w:rFonts w:ascii="Tahoma" w:cs="Tahoma" w:eastAsia="Tahoma" w:hAnsi="Tahoma"/>
              <w:sz w:val="24"/>
              <w:szCs w:val="24"/>
              <w:rtl w:val="0"/>
            </w:rPr>
            <w:t xml:space="preserve">• Ձգտում եք տիրապետել անգլերենով ինքնավստահ և արտահայտիչ գրելու հմտություններին։</w:t>
          </w:r>
        </w:sdtContent>
      </w:sdt>
    </w:p>
    <w:p w:rsidR="00000000" w:rsidDel="00000000" w:rsidP="00000000" w:rsidRDefault="00000000" w:rsidRPr="00000000" w14:paraId="00000008">
      <w:pPr>
        <w:spacing w:after="240" w:before="240" w:lineRule="auto"/>
        <w:ind w:left="-90" w:right="-60" w:firstLine="0"/>
        <w:jc w:val="both"/>
        <w:rPr>
          <w:rFonts w:ascii="Times New Roman" w:cs="Times New Roman" w:eastAsia="Times New Roman" w:hAnsi="Times New Roman"/>
          <w:b w:val="1"/>
          <w:bCs w:val="1"/>
          <w:sz w:val="24"/>
          <w:szCs w:val="24"/>
        </w:rPr>
      </w:pPr>
      <w:sdt>
        <w:sdtPr>
          <w:id w:val="-47441511"/>
          <w:tag w:val="goog_rdk_9"/>
        </w:sdtPr>
        <w:sdtContent>
          <w:r w:rsidDel="00000000" w:rsidR="00000000" w:rsidRPr="00000000">
            <w:rPr>
              <w:rFonts w:ascii="Tahoma" w:cs="Tahoma" w:eastAsia="Tahoma" w:hAnsi="Tahoma"/>
              <w:b w:val="1"/>
              <w:bCs w:val="1"/>
              <w:sz w:val="24"/>
              <w:szCs w:val="24"/>
              <w:rtl w:val="0"/>
            </w:rPr>
            <w:t xml:space="preserve">ԻՆՉՊԵՍ ԴԻՄԵԼ․․․</w:t>
          </w:r>
        </w:sdtContent>
      </w:sdt>
    </w:p>
    <w:p w:rsidR="00000000" w:rsidDel="00000000" w:rsidP="00000000" w:rsidRDefault="00000000" w:rsidRPr="00000000" w14:paraId="00000009">
      <w:pPr>
        <w:spacing w:after="240" w:before="240" w:lineRule="auto"/>
        <w:ind w:left="-90" w:right="-60" w:firstLine="0"/>
        <w:jc w:val="both"/>
        <w:rPr>
          <w:rFonts w:ascii="Times New Roman" w:cs="Times New Roman" w:eastAsia="Times New Roman" w:hAnsi="Times New Roman"/>
          <w:b w:val="1"/>
          <w:bCs w:val="1"/>
          <w:sz w:val="24"/>
          <w:szCs w:val="24"/>
        </w:rPr>
      </w:pPr>
      <w:sdt>
        <w:sdtPr>
          <w:id w:val="-101290645"/>
          <w:tag w:val="goog_rdk_10"/>
        </w:sdtPr>
        <w:sdtContent>
          <w:r w:rsidDel="00000000" w:rsidR="00000000" w:rsidRPr="00000000">
            <w:rPr>
              <w:rFonts w:ascii="Tahoma" w:cs="Tahoma" w:eastAsia="Tahoma" w:hAnsi="Tahoma"/>
              <w:sz w:val="24"/>
              <w:szCs w:val="24"/>
              <w:rtl w:val="0"/>
            </w:rPr>
            <w:t xml:space="preserve">Բակալավրիատի կամ մագիստրատուրայի ծրագրերին դիմելու համար դիմորդները պետք է էլեկտրոնային փոստ ուղարկեն մեր համակարգողին՝ Ագնես Ռևիցկի-Բալոգին, </w:t>
          </w:r>
        </w:sdtContent>
      </w:sdt>
      <w:hyperlink r:id="rId8">
        <w:r w:rsidDel="00000000" w:rsidR="00000000" w:rsidRPr="00000000">
          <w:rPr>
            <w:rFonts w:ascii="Times New Roman" w:cs="Times New Roman" w:eastAsia="Times New Roman" w:hAnsi="Times New Roman"/>
            <w:color w:val="0000ff"/>
            <w:sz w:val="24"/>
            <w:szCs w:val="24"/>
            <w:u w:val="single"/>
            <w:rtl w:val="0"/>
          </w:rPr>
          <w:t xml:space="preserve">armenian.studies@btk.ppke.hu</w:t>
        </w:r>
      </w:hyperlink>
      <w:sdt>
        <w:sdtPr>
          <w:id w:val="1877416593"/>
          <w:tag w:val="goog_rdk_11"/>
        </w:sdtPr>
        <w:sdtContent>
          <w:r w:rsidDel="00000000" w:rsidR="00000000" w:rsidRPr="00000000">
            <w:rPr>
              <w:rFonts w:ascii="Tahoma" w:cs="Tahoma" w:eastAsia="Tahoma" w:hAnsi="Tahoma"/>
              <w:sz w:val="24"/>
              <w:szCs w:val="24"/>
              <w:rtl w:val="0"/>
            </w:rPr>
            <w:t xml:space="preserve"> հասցեով՝ ոչ ուշ, քան </w:t>
          </w:r>
        </w:sdtContent>
      </w:sdt>
      <w:sdt>
        <w:sdtPr>
          <w:id w:val="507672062"/>
          <w:tag w:val="goog_rdk_12"/>
        </w:sdtPr>
        <w:sdtContent>
          <w:r w:rsidDel="00000000" w:rsidR="00000000" w:rsidRPr="00000000">
            <w:rPr>
              <w:rFonts w:ascii="Tahoma" w:cs="Tahoma" w:eastAsia="Tahoma" w:hAnsi="Tahoma"/>
              <w:b w:val="1"/>
              <w:bCs w:val="1"/>
              <w:sz w:val="24"/>
              <w:szCs w:val="24"/>
              <w:rtl w:val="0"/>
            </w:rPr>
            <w:t xml:space="preserve">2025 թվականի դեկտեմբերի 20-ը, 23:59 CET</w:t>
          </w:r>
        </w:sdtContent>
      </w:sdt>
      <w:sdt>
        <w:sdtPr>
          <w:id w:val="-2060245727"/>
          <w:tag w:val="goog_rdk_13"/>
        </w:sdtPr>
        <w:sdtContent>
          <w:r w:rsidDel="00000000" w:rsidR="00000000" w:rsidRPr="00000000">
            <w:rPr>
              <w:rFonts w:ascii="Tahoma" w:cs="Tahoma" w:eastAsia="Tahoma" w:hAnsi="Tahoma"/>
              <w:sz w:val="24"/>
              <w:szCs w:val="24"/>
              <w:rtl w:val="0"/>
            </w:rPr>
            <w:t xml:space="preserve">: Նամակին առկից ուղղարկել նաեւ </w:t>
          </w:r>
        </w:sdtContent>
      </w:sdt>
      <w:sdt>
        <w:sdtPr>
          <w:id w:val="-1733187408"/>
          <w:tag w:val="goog_rdk_14"/>
        </w:sdtPr>
        <w:sdtContent>
          <w:r w:rsidDel="00000000" w:rsidR="00000000" w:rsidRPr="00000000">
            <w:rPr>
              <w:rFonts w:ascii="Tahoma" w:cs="Tahoma" w:eastAsia="Tahoma" w:hAnsi="Tahoma"/>
              <w:b w:val="1"/>
              <w:bCs w:val="1"/>
              <w:sz w:val="24"/>
              <w:szCs w:val="24"/>
              <w:rtl w:val="0"/>
            </w:rPr>
            <w:t xml:space="preserve">CV։</w:t>
          </w:r>
        </w:sdtContent>
      </w:sdt>
    </w:p>
    <w:p w:rsidR="00000000" w:rsidDel="00000000" w:rsidP="00000000" w:rsidRDefault="00000000" w:rsidRPr="00000000" w14:paraId="0000000A">
      <w:pPr>
        <w:spacing w:after="240" w:before="240" w:lineRule="auto"/>
        <w:ind w:left="-90" w:right="-60" w:firstLine="0"/>
        <w:jc w:val="both"/>
        <w:rPr>
          <w:rFonts w:ascii="Times New Roman" w:cs="Times New Roman" w:eastAsia="Times New Roman" w:hAnsi="Times New Roman"/>
          <w:sz w:val="24"/>
          <w:szCs w:val="24"/>
        </w:rPr>
      </w:pPr>
      <w:bookmarkStart w:colFirst="0" w:colLast="0" w:name="_heading=h.jgksqcjm17m" w:id="0"/>
      <w:bookmarkEnd w:id="0"/>
      <w:sdt>
        <w:sdtPr>
          <w:id w:val="1687237381"/>
          <w:tag w:val="goog_rdk_15"/>
        </w:sdtPr>
        <w:sdtContent>
          <w:r w:rsidDel="00000000" w:rsidR="00000000" w:rsidRPr="00000000">
            <w:rPr>
              <w:rFonts w:ascii="Tahoma" w:cs="Tahoma" w:eastAsia="Tahoma" w:hAnsi="Tahoma"/>
              <w:sz w:val="24"/>
              <w:szCs w:val="24"/>
              <w:rtl w:val="0"/>
            </w:rPr>
            <w:t xml:space="preserve">Հայտերի նախնական գնահատումից հետո ընտրված թեկնածուները կհրավիրվեն զումով հարցազրույցի Հայագիտության բաժնի պրոֆեսորադասախոսական կազմի և վարչական անձնակազմի հետ: ​​Թեկնածուի ընդունման դեպքում մենք կաջակցենք կրթաթոշակին դիմելու հարցում:</w:t>
          </w:r>
        </w:sdtContent>
      </w:sdt>
    </w:p>
    <w:p w:rsidR="00000000" w:rsidDel="00000000" w:rsidP="00000000" w:rsidRDefault="00000000" w:rsidRPr="00000000" w14:paraId="0000000B">
      <w:pPr>
        <w:spacing w:after="240" w:before="240" w:lineRule="auto"/>
        <w:ind w:left="-90" w:right="-60" w:firstLine="0"/>
        <w:jc w:val="both"/>
        <w:rPr>
          <w:rFonts w:ascii="Times New Roman" w:cs="Times New Roman" w:eastAsia="Times New Roman" w:hAnsi="Times New Roman"/>
          <w:b w:val="1"/>
          <w:bCs w:val="1"/>
          <w:sz w:val="24"/>
          <w:szCs w:val="24"/>
        </w:rPr>
      </w:pPr>
      <w:sdt>
        <w:sdtPr>
          <w:id w:val="-1326512199"/>
          <w:tag w:val="goog_rdk_16"/>
        </w:sdtPr>
        <w:sdtContent>
          <w:r w:rsidDel="00000000" w:rsidR="00000000" w:rsidRPr="00000000">
            <w:rPr>
              <w:rFonts w:ascii="Tahoma" w:cs="Tahoma" w:eastAsia="Tahoma" w:hAnsi="Tahoma"/>
              <w:b w:val="1"/>
              <w:bCs w:val="1"/>
              <w:sz w:val="24"/>
              <w:szCs w:val="24"/>
              <w:rtl w:val="0"/>
            </w:rPr>
            <w:t xml:space="preserve">ՖԻՆԱՆՍԱԿԱՆ ՕԳՆՈՒԹՅՈՒՆ</w:t>
          </w:r>
        </w:sdtContent>
      </w:sdt>
    </w:p>
    <w:p w:rsidR="00000000" w:rsidDel="00000000" w:rsidP="00000000" w:rsidRDefault="00000000" w:rsidRPr="00000000" w14:paraId="0000000C">
      <w:pPr>
        <w:spacing w:after="240" w:before="240" w:lineRule="auto"/>
        <w:ind w:left="-90" w:right="-60" w:firstLine="0"/>
        <w:jc w:val="both"/>
        <w:rPr>
          <w:rFonts w:ascii="Times New Roman" w:cs="Times New Roman" w:eastAsia="Times New Roman" w:hAnsi="Times New Roman"/>
          <w:sz w:val="24"/>
          <w:szCs w:val="24"/>
        </w:rPr>
      </w:pPr>
      <w:sdt>
        <w:sdtPr>
          <w:id w:val="906307643"/>
          <w:tag w:val="goog_rdk_17"/>
        </w:sdtPr>
        <w:sdtContent>
          <w:r w:rsidDel="00000000" w:rsidR="00000000" w:rsidRPr="00000000">
            <w:rPr>
              <w:rFonts w:ascii="Tahoma" w:cs="Tahoma" w:eastAsia="Tahoma" w:hAnsi="Tahoma"/>
              <w:sz w:val="24"/>
              <w:szCs w:val="24"/>
              <w:rtl w:val="0"/>
            </w:rPr>
            <w:t xml:space="preserve">Պետեր Պազմանի անվան Կաթոլիկ Համալսարանի հայագիտության ամբիոնի մի ուսումնական տարվա ուսման վարձը կազմում է՝</w:t>
          </w:r>
        </w:sdtContent>
      </w:sdt>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76" w:lineRule="auto"/>
        <w:ind w:left="-90" w:right="-6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1911214876"/>
          <w:tag w:val="goog_rdk_18"/>
        </w:sdtPr>
        <w:sdtContent>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Բակալավրիատի համար՝ 885,000 HUF/կիսամյակ (մոտ 2,150 EUR) </w:t>
          </w:r>
        </w:sdtContent>
      </w:sdt>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76" w:lineRule="auto"/>
        <w:ind w:left="-90" w:right="-6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1096699483"/>
          <w:tag w:val="goog_rdk_19"/>
        </w:sdtPr>
        <w:sdtContent>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Մագիստրատուրայի համար` 1,125,000 HUF/ կիսամյակ (մոտ 2,750 EUR)</w:t>
          </w:r>
        </w:sdtContent>
      </w:sdt>
    </w:p>
    <w:p w:rsidR="00000000" w:rsidDel="00000000" w:rsidP="00000000" w:rsidRDefault="00000000" w:rsidRPr="00000000" w14:paraId="0000000F">
      <w:pPr>
        <w:spacing w:after="240" w:before="240" w:lineRule="auto"/>
        <w:ind w:left="-90" w:right="-60" w:firstLine="0"/>
        <w:jc w:val="both"/>
        <w:rPr>
          <w:rFonts w:ascii="Times New Roman" w:cs="Times New Roman" w:eastAsia="Times New Roman" w:hAnsi="Times New Roman"/>
          <w:sz w:val="24"/>
          <w:szCs w:val="24"/>
        </w:rPr>
      </w:pPr>
      <w:sdt>
        <w:sdtPr>
          <w:id w:val="-444121646"/>
          <w:tag w:val="goog_rdk_20"/>
        </w:sdtPr>
        <w:sdtContent>
          <w:r w:rsidDel="00000000" w:rsidR="00000000" w:rsidRPr="00000000">
            <w:rPr>
              <w:rFonts w:ascii="Tahoma" w:cs="Tahoma" w:eastAsia="Tahoma" w:hAnsi="Tahoma"/>
              <w:sz w:val="24"/>
              <w:szCs w:val="24"/>
              <w:rtl w:val="0"/>
            </w:rPr>
            <w:t xml:space="preserve">Այնուամենայինիվ, ուսանողները կարող են դիմել Հունգարական կառավարության կողմից աջակվցող երկու </w:t>
          </w:r>
        </w:sdtContent>
      </w:sdt>
      <w:sdt>
        <w:sdtPr>
          <w:id w:val="1960864338"/>
          <w:tag w:val="goog_rdk_21"/>
        </w:sdtPr>
        <w:sdtContent>
          <w:r w:rsidDel="00000000" w:rsidR="00000000" w:rsidRPr="00000000">
            <w:rPr>
              <w:rFonts w:ascii="Tahoma" w:cs="Tahoma" w:eastAsia="Tahoma" w:hAnsi="Tahoma"/>
              <w:sz w:val="24"/>
              <w:szCs w:val="24"/>
              <w:highlight w:val="white"/>
              <w:rtl w:val="0"/>
            </w:rPr>
            <w:t xml:space="preserve">կրթաթոշակային ծ</w:t>
          </w:r>
        </w:sdtContent>
      </w:sdt>
      <w:sdt>
        <w:sdtPr>
          <w:id w:val="-442998183"/>
          <w:tag w:val="goog_rdk_22"/>
        </w:sdtPr>
        <w:sdtContent>
          <w:r w:rsidDel="00000000" w:rsidR="00000000" w:rsidRPr="00000000">
            <w:rPr>
              <w:rFonts w:ascii="Tahoma" w:cs="Tahoma" w:eastAsia="Tahoma" w:hAnsi="Tahoma"/>
              <w:sz w:val="24"/>
              <w:szCs w:val="24"/>
              <w:rtl w:val="0"/>
            </w:rPr>
            <w:t xml:space="preserve">րագրերի։ </w:t>
          </w:r>
        </w:sdtContent>
      </w:sdt>
    </w:p>
    <w:p w:rsidR="00000000" w:rsidDel="00000000" w:rsidP="00000000" w:rsidRDefault="00000000" w:rsidRPr="00000000" w14:paraId="00000010">
      <w:pPr>
        <w:spacing w:after="240" w:before="240" w:lineRule="auto"/>
        <w:ind w:left="-90" w:right="-6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1">
      <w:pPr>
        <w:spacing w:after="240" w:before="240" w:lineRule="auto"/>
        <w:ind w:left="-90" w:right="-60" w:firstLine="0"/>
        <w:jc w:val="both"/>
        <w:rPr>
          <w:rFonts w:ascii="Times New Roman" w:cs="Times New Roman" w:eastAsia="Times New Roman" w:hAnsi="Times New Roman"/>
          <w:b w:val="1"/>
          <w:bCs w:val="1"/>
          <w:sz w:val="24"/>
          <w:szCs w:val="24"/>
        </w:rPr>
      </w:pPr>
      <w:sdt>
        <w:sdtPr>
          <w:id w:val="1287721565"/>
          <w:tag w:val="goog_rdk_23"/>
        </w:sdtPr>
        <w:sdtContent>
          <w:r w:rsidDel="00000000" w:rsidR="00000000" w:rsidRPr="00000000">
            <w:rPr>
              <w:rFonts w:ascii="Tahoma" w:cs="Tahoma" w:eastAsia="Tahoma" w:hAnsi="Tahoma"/>
              <w:b w:val="1"/>
              <w:bCs w:val="1"/>
              <w:sz w:val="24"/>
              <w:szCs w:val="24"/>
              <w:rtl w:val="0"/>
            </w:rPr>
            <w:t xml:space="preserve">1. Կրթաթոշակային ծրագիր երիտասարդ քրիստոնյաների համար</w:t>
          </w:r>
        </w:sdtContent>
      </w:sdt>
    </w:p>
    <w:p w:rsidR="00000000" w:rsidDel="00000000" w:rsidP="00000000" w:rsidRDefault="00000000" w:rsidRPr="00000000" w14:paraId="00000012">
      <w:pPr>
        <w:spacing w:after="240" w:before="240" w:lineRule="auto"/>
        <w:ind w:left="-90" w:right="-60" w:firstLine="0"/>
        <w:jc w:val="both"/>
        <w:rPr>
          <w:rFonts w:ascii="Times New Roman" w:cs="Times New Roman" w:eastAsia="Times New Roman" w:hAnsi="Times New Roman"/>
          <w:sz w:val="24"/>
          <w:szCs w:val="24"/>
        </w:rPr>
      </w:pPr>
      <w:sdt>
        <w:sdtPr>
          <w:id w:val="207647358"/>
          <w:tag w:val="goog_rdk_24"/>
        </w:sdtPr>
        <w:sdtContent>
          <w:r w:rsidDel="00000000" w:rsidR="00000000" w:rsidRPr="00000000">
            <w:rPr>
              <w:rFonts w:ascii="Tahoma" w:cs="Tahoma" w:eastAsia="Tahoma" w:hAnsi="Tahoma"/>
              <w:sz w:val="24"/>
              <w:szCs w:val="24"/>
              <w:rtl w:val="0"/>
            </w:rPr>
            <w:t xml:space="preserve">Քրիստոնյա երիտասարդների համար կրթաթոշակային ծրագիրը (SCYP) ստեղծվել է Հունգարիայի կառավարության՝ Հունգարիայի օգնության գործակալության (Hungary Helps Agency)  կողմից:</w:t>
          </w:r>
        </w:sdtContent>
      </w:sdt>
    </w:p>
    <w:p w:rsidR="00000000" w:rsidDel="00000000" w:rsidP="00000000" w:rsidRDefault="00000000" w:rsidRPr="00000000" w14:paraId="00000013">
      <w:pPr>
        <w:spacing w:after="240" w:before="240" w:lineRule="auto"/>
        <w:ind w:left="-90" w:right="-60" w:firstLine="0"/>
        <w:jc w:val="both"/>
        <w:rPr>
          <w:rFonts w:ascii="Times New Roman" w:cs="Times New Roman" w:eastAsia="Times New Roman" w:hAnsi="Times New Roman"/>
          <w:i w:val="1"/>
          <w:iCs w:val="1"/>
          <w:sz w:val="24"/>
          <w:szCs w:val="24"/>
        </w:rPr>
      </w:pPr>
      <w:sdt>
        <w:sdtPr>
          <w:id w:val="257825"/>
          <w:tag w:val="goog_rdk_25"/>
        </w:sdtPr>
        <w:sdtContent>
          <w:r w:rsidDel="00000000" w:rsidR="00000000" w:rsidRPr="00000000">
            <w:rPr>
              <w:rFonts w:ascii="Tahoma" w:cs="Tahoma" w:eastAsia="Tahoma" w:hAnsi="Tahoma"/>
              <w:i w:val="1"/>
              <w:iCs w:val="1"/>
              <w:sz w:val="24"/>
              <w:szCs w:val="24"/>
              <w:rtl w:val="0"/>
            </w:rPr>
            <w:t xml:space="preserve">Իրավասության չափանիշներ.</w:t>
          </w:r>
        </w:sdtContent>
      </w:sdt>
    </w:p>
    <w:p w:rsidR="00000000" w:rsidDel="00000000" w:rsidP="00000000" w:rsidRDefault="00000000" w:rsidRPr="00000000" w14:paraId="00000014">
      <w:pPr>
        <w:numPr>
          <w:ilvl w:val="0"/>
          <w:numId w:val="1"/>
        </w:numPr>
        <w:spacing w:after="240" w:before="240" w:lineRule="auto"/>
        <w:ind w:left="-90" w:right="-60" w:firstLine="0"/>
        <w:jc w:val="both"/>
        <w:rPr>
          <w:rFonts w:ascii="Times New Roman" w:cs="Times New Roman" w:eastAsia="Times New Roman" w:hAnsi="Times New Roman"/>
          <w:sz w:val="24"/>
          <w:szCs w:val="24"/>
        </w:rPr>
      </w:pPr>
      <w:sdt>
        <w:sdtPr>
          <w:id w:val="332156653"/>
          <w:tag w:val="goog_rdk_26"/>
        </w:sdtPr>
        <w:sdtContent>
          <w:r w:rsidDel="00000000" w:rsidR="00000000" w:rsidRPr="00000000">
            <w:rPr>
              <w:rFonts w:ascii="Tahoma" w:cs="Tahoma" w:eastAsia="Tahoma" w:hAnsi="Tahoma"/>
              <w:sz w:val="24"/>
              <w:szCs w:val="24"/>
              <w:rtl w:val="0"/>
            </w:rPr>
            <w:t xml:space="preserve">Դիմել կարող են հետևյալ երկրների քաղաքացիները՝ Լիբանանի Հանրապետություն, Գանայի Հանրապետություն, Նիգերի Հանրապետություն, Նիկարագուա, Չադի Հանրապետություն, Իրաքի Հանրապետություն, Իսրայել Պետություն, Պաղեստին, Պակիստանի Իսլամական Հանրապետություն, Սիրիայի Արաբական Հանրապետություն, Քենիայի Հանրապետություն, Եթովպիայի Դաշնային Դեմոկրատական ​​Հանրապետություն, Հայաստանի Հանրապետության և Նիգերիայի Ֆեդերատիվ Հանրապետություն;</w:t>
          </w:r>
        </w:sdtContent>
      </w:sdt>
    </w:p>
    <w:p w:rsidR="00000000" w:rsidDel="00000000" w:rsidP="00000000" w:rsidRDefault="00000000" w:rsidRPr="00000000" w14:paraId="00000015">
      <w:pPr>
        <w:numPr>
          <w:ilvl w:val="0"/>
          <w:numId w:val="1"/>
        </w:numPr>
        <w:spacing w:after="240" w:before="240" w:lineRule="auto"/>
        <w:ind w:left="-90" w:right="-60" w:firstLine="0"/>
        <w:jc w:val="both"/>
        <w:rPr>
          <w:rFonts w:ascii="Times New Roman" w:cs="Times New Roman" w:eastAsia="Times New Roman" w:hAnsi="Times New Roman"/>
          <w:sz w:val="24"/>
          <w:szCs w:val="24"/>
        </w:rPr>
      </w:pPr>
      <w:sdt>
        <w:sdtPr>
          <w:id w:val="2139138689"/>
          <w:tag w:val="goog_rdk_27"/>
        </w:sdtPr>
        <w:sdtContent>
          <w:r w:rsidDel="00000000" w:rsidR="00000000" w:rsidRPr="00000000">
            <w:rPr>
              <w:rFonts w:ascii="Tahoma" w:cs="Tahoma" w:eastAsia="Tahoma" w:hAnsi="Tahoma"/>
              <w:sz w:val="24"/>
              <w:szCs w:val="24"/>
              <w:rtl w:val="0"/>
            </w:rPr>
            <w:t xml:space="preserve">Դիմորդը պետք է մկրտված լինի քրիստոնեական եկեղեցում (անդամակցությունը հաստատելու համար անհրաժեշտ է եպիսկոպոսի նամակ).</w:t>
          </w:r>
        </w:sdtContent>
      </w:sdt>
    </w:p>
    <w:p w:rsidR="00000000" w:rsidDel="00000000" w:rsidP="00000000" w:rsidRDefault="00000000" w:rsidRPr="00000000" w14:paraId="00000016">
      <w:pPr>
        <w:spacing w:after="240" w:before="240" w:lineRule="auto"/>
        <w:ind w:left="-90" w:right="-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240" w:before="240" w:lineRule="auto"/>
        <w:ind w:left="-90" w:right="-60" w:firstLine="0"/>
        <w:jc w:val="both"/>
        <w:rPr>
          <w:rFonts w:ascii="Times New Roman" w:cs="Times New Roman" w:eastAsia="Times New Roman" w:hAnsi="Times New Roman"/>
          <w:i w:val="1"/>
          <w:iCs w:val="1"/>
          <w:sz w:val="24"/>
          <w:szCs w:val="24"/>
        </w:rPr>
      </w:pPr>
      <w:sdt>
        <w:sdtPr>
          <w:id w:val="641990979"/>
          <w:tag w:val="goog_rdk_28"/>
        </w:sdtPr>
        <w:sdtContent>
          <w:r w:rsidDel="00000000" w:rsidR="00000000" w:rsidRPr="00000000">
            <w:rPr>
              <w:rFonts w:ascii="Tahoma" w:cs="Tahoma" w:eastAsia="Tahoma" w:hAnsi="Tahoma"/>
              <w:i w:val="1"/>
              <w:iCs w:val="1"/>
              <w:sz w:val="24"/>
              <w:szCs w:val="24"/>
              <w:rtl w:val="0"/>
            </w:rPr>
            <w:t xml:space="preserve">Ծրագրով նախատեսված առավելությունները</w:t>
          </w:r>
        </w:sdtContent>
      </w:sdt>
    </w:p>
    <w:p w:rsidR="00000000" w:rsidDel="00000000" w:rsidP="00000000" w:rsidRDefault="00000000" w:rsidRPr="00000000" w14:paraId="00000018">
      <w:pPr>
        <w:spacing w:after="240" w:before="240" w:lineRule="auto"/>
        <w:ind w:left="-90" w:right="-60" w:firstLine="0"/>
        <w:jc w:val="both"/>
        <w:rPr>
          <w:rFonts w:ascii="Times New Roman" w:cs="Times New Roman" w:eastAsia="Times New Roman" w:hAnsi="Times New Roman"/>
          <w:sz w:val="24"/>
          <w:szCs w:val="24"/>
        </w:rPr>
      </w:pPr>
      <w:sdt>
        <w:sdtPr>
          <w:id w:val="-119782727"/>
          <w:tag w:val="goog_rdk_29"/>
        </w:sdtPr>
        <w:sdtContent>
          <w:r w:rsidDel="00000000" w:rsidR="00000000" w:rsidRPr="00000000">
            <w:rPr>
              <w:rFonts w:ascii="Tahoma" w:cs="Tahoma" w:eastAsia="Tahoma" w:hAnsi="Tahoma"/>
              <w:sz w:val="24"/>
              <w:szCs w:val="24"/>
              <w:rtl w:val="0"/>
            </w:rPr>
            <w:t xml:space="preserve">1. Ուսման վարձի փոխհատուցում,</w:t>
          </w:r>
        </w:sdtContent>
      </w:sdt>
    </w:p>
    <w:p w:rsidR="00000000" w:rsidDel="00000000" w:rsidP="00000000" w:rsidRDefault="00000000" w:rsidRPr="00000000" w14:paraId="00000019">
      <w:pPr>
        <w:spacing w:after="240" w:before="240" w:lineRule="auto"/>
        <w:ind w:left="-90" w:right="-60" w:firstLine="0"/>
        <w:jc w:val="both"/>
        <w:rPr>
          <w:rFonts w:ascii="Times New Roman" w:cs="Times New Roman" w:eastAsia="Times New Roman" w:hAnsi="Times New Roman"/>
          <w:sz w:val="24"/>
          <w:szCs w:val="24"/>
        </w:rPr>
      </w:pPr>
      <w:sdt>
        <w:sdtPr>
          <w:id w:val="958777102"/>
          <w:tag w:val="goog_rdk_30"/>
        </w:sdtPr>
        <w:sdtContent>
          <w:r w:rsidDel="00000000" w:rsidR="00000000" w:rsidRPr="00000000">
            <w:rPr>
              <w:rFonts w:ascii="Tahoma" w:cs="Tahoma" w:eastAsia="Tahoma" w:hAnsi="Tahoma"/>
              <w:sz w:val="24"/>
              <w:szCs w:val="24"/>
              <w:rtl w:val="0"/>
            </w:rPr>
            <w:t xml:space="preserve">2. Ամսական կրթաթոշակ՝ 166600 HUF (մոտ 450 եվրո):*</w:t>
          </w:r>
        </w:sdtContent>
      </w:sdt>
    </w:p>
    <w:p w:rsidR="00000000" w:rsidDel="00000000" w:rsidP="00000000" w:rsidRDefault="00000000" w:rsidRPr="00000000" w14:paraId="0000001A">
      <w:pPr>
        <w:spacing w:after="240" w:before="240" w:lineRule="auto"/>
        <w:ind w:left="-90" w:right="-60" w:firstLine="0"/>
        <w:jc w:val="both"/>
        <w:rPr>
          <w:rFonts w:ascii="Times New Roman" w:cs="Times New Roman" w:eastAsia="Times New Roman" w:hAnsi="Times New Roman"/>
          <w:sz w:val="24"/>
          <w:szCs w:val="24"/>
        </w:rPr>
      </w:pPr>
      <w:sdt>
        <w:sdtPr>
          <w:id w:val="-1258955279"/>
          <w:tag w:val="goog_rdk_31"/>
        </w:sdtPr>
        <w:sdtContent>
          <w:r w:rsidDel="00000000" w:rsidR="00000000" w:rsidRPr="00000000">
            <w:rPr>
              <w:rFonts w:ascii="Tahoma" w:cs="Tahoma" w:eastAsia="Tahoma" w:hAnsi="Tahoma"/>
              <w:sz w:val="24"/>
              <w:szCs w:val="24"/>
              <w:rtl w:val="0"/>
            </w:rPr>
            <w:t xml:space="preserve">3. Հանրակացարանային կացություն կամ  40000 HUF/ամսական չափով կեցության ապահովում (մոտ 110 եվրո):</w:t>
          </w:r>
        </w:sdtContent>
      </w:sdt>
    </w:p>
    <w:p w:rsidR="00000000" w:rsidDel="00000000" w:rsidP="00000000" w:rsidRDefault="00000000" w:rsidRPr="00000000" w14:paraId="0000001B">
      <w:pPr>
        <w:spacing w:after="240" w:before="240" w:lineRule="auto"/>
        <w:ind w:left="-90" w:right="-60" w:firstLine="0"/>
        <w:jc w:val="both"/>
        <w:rPr>
          <w:rFonts w:ascii="Times New Roman" w:cs="Times New Roman" w:eastAsia="Times New Roman" w:hAnsi="Times New Roman"/>
          <w:sz w:val="24"/>
          <w:szCs w:val="24"/>
        </w:rPr>
      </w:pPr>
      <w:sdt>
        <w:sdtPr>
          <w:id w:val="1731830825"/>
          <w:tag w:val="goog_rdk_32"/>
        </w:sdtPr>
        <w:sdtContent>
          <w:r w:rsidDel="00000000" w:rsidR="00000000" w:rsidRPr="00000000">
            <w:rPr>
              <w:rFonts w:ascii="Tahoma" w:cs="Tahoma" w:eastAsia="Tahoma" w:hAnsi="Tahoma"/>
              <w:sz w:val="24"/>
              <w:szCs w:val="24"/>
              <w:rtl w:val="0"/>
            </w:rPr>
            <w:t xml:space="preserve">4. Հունգարիայում հանրային առողջապահական ծառայություններից անվճար օգտվելու հնարավորություն (TAJ):</w:t>
          </w:r>
        </w:sdtContent>
      </w:sdt>
    </w:p>
    <w:p w:rsidR="00000000" w:rsidDel="00000000" w:rsidP="00000000" w:rsidRDefault="00000000" w:rsidRPr="00000000" w14:paraId="0000001C">
      <w:pPr>
        <w:spacing w:after="240" w:before="240" w:lineRule="auto"/>
        <w:ind w:left="-90" w:right="-60" w:firstLine="0"/>
        <w:jc w:val="both"/>
        <w:rPr>
          <w:rFonts w:ascii="Times New Roman" w:cs="Times New Roman" w:eastAsia="Times New Roman" w:hAnsi="Times New Roman"/>
          <w:sz w:val="24"/>
          <w:szCs w:val="24"/>
        </w:rPr>
      </w:pPr>
      <w:sdt>
        <w:sdtPr>
          <w:id w:val="1619761562"/>
          <w:tag w:val="goog_rdk_33"/>
        </w:sdtPr>
        <w:sdtContent>
          <w:r w:rsidDel="00000000" w:rsidR="00000000" w:rsidRPr="00000000">
            <w:rPr>
              <w:rFonts w:ascii="Tahoma" w:cs="Tahoma" w:eastAsia="Tahoma" w:hAnsi="Tahoma"/>
              <w:sz w:val="24"/>
              <w:szCs w:val="24"/>
              <w:rtl w:val="0"/>
            </w:rPr>
            <w:t xml:space="preserve">5. Տարեկան ճանապարհածախսի փոխհատուցում։</w:t>
          </w:r>
        </w:sdtContent>
      </w:sdt>
    </w:p>
    <w:p w:rsidR="00000000" w:rsidDel="00000000" w:rsidP="00000000" w:rsidRDefault="00000000" w:rsidRPr="00000000" w14:paraId="0000001D">
      <w:pPr>
        <w:spacing w:after="240" w:before="240" w:lineRule="auto"/>
        <w:ind w:left="-90" w:right="-60" w:firstLine="0"/>
        <w:jc w:val="both"/>
        <w:rPr>
          <w:rFonts w:ascii="Times New Roman" w:cs="Times New Roman" w:eastAsia="Times New Roman" w:hAnsi="Times New Roman"/>
          <w:sz w:val="24"/>
          <w:szCs w:val="24"/>
        </w:rPr>
      </w:pPr>
      <w:sdt>
        <w:sdtPr>
          <w:id w:val="-2083081900"/>
          <w:tag w:val="goog_rdk_34"/>
        </w:sdtPr>
        <w:sdtContent>
          <w:r w:rsidDel="00000000" w:rsidR="00000000" w:rsidRPr="00000000">
            <w:rPr>
              <w:rFonts w:ascii="Tahoma" w:cs="Tahoma" w:eastAsia="Tahoma" w:hAnsi="Tahoma"/>
              <w:sz w:val="24"/>
              <w:szCs w:val="24"/>
              <w:rtl w:val="0"/>
            </w:rPr>
            <w:t xml:space="preserve">* Հաշվի առնելով, որ ծրագիրն ապահովում է հիմնական ծախսերը՝ կեցության, տրանսպորտ, բժշկական ապահովագրություն, կրթաթոշակը բավարար է ուսանողների կենցաղային ծախսերը հոգալու համար:</w:t>
          </w:r>
        </w:sdtContent>
      </w:sdt>
    </w:p>
    <w:p w:rsidR="00000000" w:rsidDel="00000000" w:rsidP="00000000" w:rsidRDefault="00000000" w:rsidRPr="00000000" w14:paraId="0000001E">
      <w:pPr>
        <w:spacing w:after="240" w:before="240" w:lineRule="auto"/>
        <w:ind w:left="-90" w:right="-60" w:firstLine="0"/>
        <w:jc w:val="both"/>
        <w:rPr>
          <w:rFonts w:ascii="Times New Roman" w:cs="Times New Roman" w:eastAsia="Times New Roman" w:hAnsi="Times New Roman"/>
          <w:sz w:val="24"/>
          <w:szCs w:val="24"/>
        </w:rPr>
      </w:pPr>
      <w:sdt>
        <w:sdtPr>
          <w:id w:val="-1089100426"/>
          <w:tag w:val="goog_rdk_35"/>
        </w:sdtPr>
        <w:sdtContent>
          <w:r w:rsidDel="00000000" w:rsidR="00000000" w:rsidRPr="00000000">
            <w:rPr>
              <w:rFonts w:ascii="Tahoma" w:cs="Tahoma" w:eastAsia="Tahoma" w:hAnsi="Tahoma"/>
              <w:sz w:val="24"/>
              <w:szCs w:val="24"/>
              <w:rtl w:val="0"/>
            </w:rPr>
            <w:t xml:space="preserve">Լրացուցիչ մանրամասների համար տե՛ս </w:t>
          </w:r>
        </w:sdtContent>
      </w:sdt>
      <w:hyperlink r:id="rId9">
        <w:r w:rsidDel="00000000" w:rsidR="00000000" w:rsidRPr="00000000">
          <w:rPr>
            <w:rFonts w:ascii="Times New Roman" w:cs="Times New Roman" w:eastAsia="Times New Roman" w:hAnsi="Times New Roman"/>
            <w:color w:val="0000ff"/>
            <w:sz w:val="24"/>
            <w:szCs w:val="24"/>
            <w:u w:val="single"/>
            <w:rtl w:val="0"/>
          </w:rPr>
          <w:t xml:space="preserve">SCYP առցանց դիմումի համակարգը</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F">
      <w:pPr>
        <w:spacing w:after="240" w:before="240" w:lineRule="auto"/>
        <w:ind w:left="-90" w:right="-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240" w:before="240" w:lineRule="auto"/>
        <w:ind w:left="-9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2. Stipendium Hungaricum</w:t>
      </w:r>
      <w:r w:rsidDel="00000000" w:rsidR="00000000" w:rsidRPr="00000000">
        <w:rPr>
          <w:rtl w:val="0"/>
        </w:rPr>
      </w:r>
    </w:p>
    <w:p w:rsidR="00000000" w:rsidDel="00000000" w:rsidP="00000000" w:rsidRDefault="00000000" w:rsidRPr="00000000" w14:paraId="00000021">
      <w:pPr>
        <w:spacing w:after="240" w:before="240" w:lineRule="auto"/>
        <w:ind w:left="-90" w:right="-60" w:firstLine="0"/>
        <w:jc w:val="both"/>
        <w:rPr>
          <w:rFonts w:ascii="Times New Roman" w:cs="Times New Roman" w:eastAsia="Times New Roman" w:hAnsi="Times New Roman"/>
          <w:sz w:val="24"/>
          <w:szCs w:val="24"/>
        </w:rPr>
      </w:pPr>
      <w:sdt>
        <w:sdtPr>
          <w:id w:val="1431476986"/>
          <w:tag w:val="goog_rdk_36"/>
        </w:sdtPr>
        <w:sdtContent>
          <w:r w:rsidDel="00000000" w:rsidR="00000000" w:rsidRPr="00000000">
            <w:rPr>
              <w:rFonts w:ascii="Tahoma" w:cs="Tahoma" w:eastAsia="Tahoma" w:hAnsi="Tahoma"/>
              <w:i w:val="1"/>
              <w:iCs w:val="1"/>
              <w:sz w:val="24"/>
              <w:szCs w:val="24"/>
              <w:rtl w:val="0"/>
            </w:rPr>
            <w:t xml:space="preserve">Իրավասության չափանիշներ</w:t>
          </w:r>
        </w:sdtContent>
      </w:sdt>
      <w:r w:rsidDel="00000000" w:rsidR="00000000" w:rsidRPr="00000000">
        <w:rPr>
          <w:rtl w:val="0"/>
        </w:rPr>
      </w:r>
    </w:p>
    <w:p w:rsidR="00000000" w:rsidDel="00000000" w:rsidP="00000000" w:rsidRDefault="00000000" w:rsidRPr="00000000" w14:paraId="00000022">
      <w:pPr>
        <w:spacing w:after="240" w:before="240" w:lineRule="auto"/>
        <w:ind w:left="-90" w:right="-60" w:firstLine="0"/>
        <w:jc w:val="both"/>
        <w:rPr>
          <w:rFonts w:ascii="Times New Roman" w:cs="Times New Roman" w:eastAsia="Times New Roman" w:hAnsi="Times New Roman"/>
          <w:sz w:val="24"/>
          <w:szCs w:val="24"/>
        </w:rPr>
      </w:pPr>
      <w:sdt>
        <w:sdtPr>
          <w:id w:val="-1729675433"/>
          <w:tag w:val="goog_rdk_37"/>
        </w:sdtPr>
        <w:sdtContent>
          <w:r w:rsidDel="00000000" w:rsidR="00000000" w:rsidRPr="00000000">
            <w:rPr>
              <w:rFonts w:ascii="Tahoma" w:cs="Tahoma" w:eastAsia="Tahoma" w:hAnsi="Tahoma"/>
              <w:sz w:val="24"/>
              <w:szCs w:val="24"/>
              <w:rtl w:val="0"/>
            </w:rPr>
            <w:t xml:space="preserve">Դիմել կարող են հետևյալ երկրների քաղաքացիները՝ Ալբանիա, Ալժիր, Անգոլա, Արգենտինա, Ադրբեջան, Բահրեյն, Բանգլադեշ, Բելիզ, Բոլիվիա, Բոսնիա և Հերցեգովինա, Բրազիլիա, Բրունեյ, Բուրունդի, Կամբոջա, Կաբո Վերդե, Չադ, Չիլի, Չինաստան, Կոլումբիա, Կոստա Ռիկա, Կուբա, Կոնգոյի Դեմոկրատական Հանրապետություն, Դոմինիկյան Հանրապետություն, Էկվադոր, Եգիպտոս, Էլ Սալվադոր, Էրիթրեա, Եթովպիա, Գամբիա, Վրաստան, Գանա, Հոնդուրաս, Հնդաստան, Ինդոնեզիա, Իրան, Իրաք, Իսրայել, Հորդանան, Ղազախստան, Քենիա, Կոսովո, Քուրդիստանի Ինքնավար Մարզ (Իրաք), Քուվեյթ, Ղրղզստան, Լաոս, Լիբանան, Լիբերիա, Լիբիա, Մադագասկար, Մալայզիա, Մալդիվներ, Մալի, Մարշալյան կղզիներ, Մեքսիկա, Մոլդովա, Մոնղոլիա, Չեռնոգորիա, Մարոկկո, Մոզամբիկ, Նամիբիա, Նիգերիա, Օման, Պակիստան, Պաղեստին, Պանամա, Պերու, Ֆիլիպիններ, Ռուսաստան, Ռուանդա, Սերբիա, Սեյշելներ, Սիերա Լեոնե, Սինգապուր, Հարավային Կորեա, Սուդան, Սիրիա, Թայվան, Տաջիկստան, Թաիլանդ, Թունիս, Թուրքիա, Թուրքմենստան, Ուկրաինա, Արաբական Միացյալ Էմիրություններ, Ուրուգվայ, Ուզբեկստան, Վենեսուելա, Վիետնամ և Եմեն։։</w:t>
          </w:r>
        </w:sdtContent>
      </w:sdt>
    </w:p>
    <w:p w:rsidR="00000000" w:rsidDel="00000000" w:rsidP="00000000" w:rsidRDefault="00000000" w:rsidRPr="00000000" w14:paraId="00000023">
      <w:pPr>
        <w:spacing w:after="240" w:before="240" w:lineRule="auto"/>
        <w:ind w:left="-90" w:right="-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240" w:before="240" w:lineRule="auto"/>
        <w:ind w:left="-90" w:right="-60" w:firstLine="0"/>
        <w:jc w:val="both"/>
        <w:rPr>
          <w:rFonts w:ascii="Times New Roman" w:cs="Times New Roman" w:eastAsia="Times New Roman" w:hAnsi="Times New Roman"/>
          <w:i w:val="1"/>
          <w:iCs w:val="1"/>
          <w:sz w:val="24"/>
          <w:szCs w:val="24"/>
        </w:rPr>
      </w:pPr>
      <w:sdt>
        <w:sdtPr>
          <w:id w:val="1374093114"/>
          <w:tag w:val="goog_rdk_38"/>
        </w:sdtPr>
        <w:sdtContent>
          <w:r w:rsidDel="00000000" w:rsidR="00000000" w:rsidRPr="00000000">
            <w:rPr>
              <w:rFonts w:ascii="Tahoma" w:cs="Tahoma" w:eastAsia="Tahoma" w:hAnsi="Tahoma"/>
              <w:i w:val="1"/>
              <w:iCs w:val="1"/>
              <w:sz w:val="24"/>
              <w:szCs w:val="24"/>
              <w:rtl w:val="0"/>
            </w:rPr>
            <w:t xml:space="preserve">Ծրագրով նախատեսված առավելությունները</w:t>
          </w:r>
        </w:sdtContent>
      </w:sdt>
    </w:p>
    <w:p w:rsidR="00000000" w:rsidDel="00000000" w:rsidP="00000000" w:rsidRDefault="00000000" w:rsidRPr="00000000" w14:paraId="00000025">
      <w:pPr>
        <w:spacing w:after="240" w:before="240" w:lineRule="auto"/>
        <w:ind w:left="-90" w:right="-60" w:firstLine="0"/>
        <w:jc w:val="both"/>
        <w:rPr>
          <w:rFonts w:ascii="Times New Roman" w:cs="Times New Roman" w:eastAsia="Times New Roman" w:hAnsi="Times New Roman"/>
          <w:sz w:val="24"/>
          <w:szCs w:val="24"/>
        </w:rPr>
      </w:pPr>
      <w:sdt>
        <w:sdtPr>
          <w:id w:val="-24484255"/>
          <w:tag w:val="goog_rdk_39"/>
        </w:sdtPr>
        <w:sdtContent>
          <w:r w:rsidDel="00000000" w:rsidR="00000000" w:rsidRPr="00000000">
            <w:rPr>
              <w:rFonts w:ascii="Tahoma" w:cs="Tahoma" w:eastAsia="Tahoma" w:hAnsi="Tahoma"/>
              <w:sz w:val="24"/>
              <w:szCs w:val="24"/>
              <w:rtl w:val="0"/>
            </w:rPr>
            <w:t xml:space="preserve">1. Ուսման վարձի փոխհատուցում</w:t>
          </w:r>
        </w:sdtContent>
      </w:sdt>
    </w:p>
    <w:p w:rsidR="00000000" w:rsidDel="00000000" w:rsidP="00000000" w:rsidRDefault="00000000" w:rsidRPr="00000000" w14:paraId="00000026">
      <w:pPr>
        <w:spacing w:after="240" w:before="240" w:lineRule="auto"/>
        <w:ind w:left="-90" w:right="-60" w:firstLine="0"/>
        <w:jc w:val="both"/>
        <w:rPr>
          <w:rFonts w:ascii="Times New Roman" w:cs="Times New Roman" w:eastAsia="Times New Roman" w:hAnsi="Times New Roman"/>
          <w:sz w:val="24"/>
          <w:szCs w:val="24"/>
        </w:rPr>
      </w:pPr>
      <w:sdt>
        <w:sdtPr>
          <w:id w:val="-1799378846"/>
          <w:tag w:val="goog_rdk_40"/>
        </w:sdtPr>
        <w:sdtContent>
          <w:r w:rsidDel="00000000" w:rsidR="00000000" w:rsidRPr="00000000">
            <w:rPr>
              <w:rFonts w:ascii="Tahoma" w:cs="Tahoma" w:eastAsia="Tahoma" w:hAnsi="Tahoma"/>
              <w:sz w:val="24"/>
              <w:szCs w:val="24"/>
              <w:rtl w:val="0"/>
            </w:rPr>
            <w:t xml:space="preserve">2. Ամսական կրթաթոշակ՝ 43,700 HUF (107 եվրո)</w:t>
          </w:r>
        </w:sdtContent>
      </w:sdt>
    </w:p>
    <w:p w:rsidR="00000000" w:rsidDel="00000000" w:rsidP="00000000" w:rsidRDefault="00000000" w:rsidRPr="00000000" w14:paraId="00000027">
      <w:pPr>
        <w:spacing w:after="240" w:before="240" w:lineRule="auto"/>
        <w:ind w:left="-90" w:right="-60" w:firstLine="0"/>
        <w:jc w:val="both"/>
        <w:rPr>
          <w:rFonts w:ascii="Times New Roman" w:cs="Times New Roman" w:eastAsia="Times New Roman" w:hAnsi="Times New Roman"/>
          <w:sz w:val="24"/>
          <w:szCs w:val="24"/>
        </w:rPr>
      </w:pPr>
      <w:sdt>
        <w:sdtPr>
          <w:id w:val="-448506843"/>
          <w:tag w:val="goog_rdk_41"/>
        </w:sdtPr>
        <w:sdtContent>
          <w:r w:rsidDel="00000000" w:rsidR="00000000" w:rsidRPr="00000000">
            <w:rPr>
              <w:rFonts w:ascii="Tahoma" w:cs="Tahoma" w:eastAsia="Tahoma" w:hAnsi="Tahoma"/>
              <w:sz w:val="24"/>
              <w:szCs w:val="24"/>
              <w:rtl w:val="0"/>
            </w:rPr>
            <w:t xml:space="preserve">3. Հանրակացարանային կացություն կամ 40000 HUF/ամսական չափով կեցության ապահովում (մոտ 110 եվրո)</w:t>
          </w:r>
        </w:sdtContent>
      </w:sdt>
    </w:p>
    <w:p w:rsidR="00000000" w:rsidDel="00000000" w:rsidP="00000000" w:rsidRDefault="00000000" w:rsidRPr="00000000" w14:paraId="00000028">
      <w:pPr>
        <w:spacing w:after="240" w:before="240" w:lineRule="auto"/>
        <w:ind w:left="-90" w:right="-60" w:firstLine="0"/>
        <w:jc w:val="both"/>
        <w:rPr>
          <w:rFonts w:ascii="Times New Roman" w:cs="Times New Roman" w:eastAsia="Times New Roman" w:hAnsi="Times New Roman"/>
          <w:sz w:val="24"/>
          <w:szCs w:val="24"/>
        </w:rPr>
      </w:pPr>
      <w:sdt>
        <w:sdtPr>
          <w:id w:val="1956630238"/>
          <w:tag w:val="goog_rdk_42"/>
        </w:sdtPr>
        <w:sdtContent>
          <w:r w:rsidDel="00000000" w:rsidR="00000000" w:rsidRPr="00000000">
            <w:rPr>
              <w:rFonts w:ascii="Tahoma" w:cs="Tahoma" w:eastAsia="Tahoma" w:hAnsi="Tahoma"/>
              <w:sz w:val="24"/>
              <w:szCs w:val="24"/>
              <w:rtl w:val="0"/>
            </w:rPr>
            <w:t xml:space="preserve">4. Հունգարիայում հանրային առողջապահական ծառայություններից անվճար օգտվելու հնարավորություն (TAJ):</w:t>
          </w:r>
        </w:sdtContent>
      </w:sdt>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3"/>
      <w:numFmt w:val="bullet"/>
      <w:lvlText w:val="-"/>
      <w:lvlJc w:val="left"/>
      <w:pPr>
        <w:ind w:left="430" w:hanging="360"/>
      </w:pPr>
      <w:rPr>
        <w:rFonts w:ascii="Tahoma" w:cs="Tahoma" w:eastAsia="Tahoma" w:hAnsi="Tahoma"/>
      </w:rPr>
    </w:lvl>
    <w:lvl w:ilvl="1">
      <w:start w:val="1"/>
      <w:numFmt w:val="bullet"/>
      <w:lvlText w:val="o"/>
      <w:lvlJc w:val="left"/>
      <w:pPr>
        <w:ind w:left="1150" w:hanging="360"/>
      </w:pPr>
      <w:rPr>
        <w:rFonts w:ascii="Courier New" w:cs="Courier New" w:eastAsia="Courier New" w:hAnsi="Courier New"/>
      </w:rPr>
    </w:lvl>
    <w:lvl w:ilvl="2">
      <w:start w:val="1"/>
      <w:numFmt w:val="bullet"/>
      <w:lvlText w:val="▪"/>
      <w:lvlJc w:val="left"/>
      <w:pPr>
        <w:ind w:left="1870" w:hanging="360"/>
      </w:pPr>
      <w:rPr>
        <w:rFonts w:ascii="Noto Sans Symbols" w:cs="Noto Sans Symbols" w:eastAsia="Noto Sans Symbols" w:hAnsi="Noto Sans Symbols"/>
      </w:rPr>
    </w:lvl>
    <w:lvl w:ilvl="3">
      <w:start w:val="1"/>
      <w:numFmt w:val="bullet"/>
      <w:lvlText w:val="●"/>
      <w:lvlJc w:val="left"/>
      <w:pPr>
        <w:ind w:left="2590" w:hanging="360"/>
      </w:pPr>
      <w:rPr>
        <w:rFonts w:ascii="Noto Sans Symbols" w:cs="Noto Sans Symbols" w:eastAsia="Noto Sans Symbols" w:hAnsi="Noto Sans Symbols"/>
      </w:rPr>
    </w:lvl>
    <w:lvl w:ilvl="4">
      <w:start w:val="1"/>
      <w:numFmt w:val="bullet"/>
      <w:lvlText w:val="o"/>
      <w:lvlJc w:val="left"/>
      <w:pPr>
        <w:ind w:left="3310" w:hanging="360"/>
      </w:pPr>
      <w:rPr>
        <w:rFonts w:ascii="Courier New" w:cs="Courier New" w:eastAsia="Courier New" w:hAnsi="Courier New"/>
      </w:rPr>
    </w:lvl>
    <w:lvl w:ilvl="5">
      <w:start w:val="1"/>
      <w:numFmt w:val="bullet"/>
      <w:lvlText w:val="▪"/>
      <w:lvlJc w:val="left"/>
      <w:pPr>
        <w:ind w:left="4030" w:hanging="360"/>
      </w:pPr>
      <w:rPr>
        <w:rFonts w:ascii="Noto Sans Symbols" w:cs="Noto Sans Symbols" w:eastAsia="Noto Sans Symbols" w:hAnsi="Noto Sans Symbols"/>
      </w:rPr>
    </w:lvl>
    <w:lvl w:ilvl="6">
      <w:start w:val="1"/>
      <w:numFmt w:val="bullet"/>
      <w:lvlText w:val="●"/>
      <w:lvlJc w:val="left"/>
      <w:pPr>
        <w:ind w:left="4750" w:hanging="360"/>
      </w:pPr>
      <w:rPr>
        <w:rFonts w:ascii="Noto Sans Symbols" w:cs="Noto Sans Symbols" w:eastAsia="Noto Sans Symbols" w:hAnsi="Noto Sans Symbols"/>
      </w:rPr>
    </w:lvl>
    <w:lvl w:ilvl="7">
      <w:start w:val="1"/>
      <w:numFmt w:val="bullet"/>
      <w:lvlText w:val="o"/>
      <w:lvlJc w:val="left"/>
      <w:pPr>
        <w:ind w:left="5470" w:hanging="360"/>
      </w:pPr>
      <w:rPr>
        <w:rFonts w:ascii="Courier New" w:cs="Courier New" w:eastAsia="Courier New" w:hAnsi="Courier New"/>
      </w:rPr>
    </w:lvl>
    <w:lvl w:ilvl="8">
      <w:start w:val="1"/>
      <w:numFmt w:val="bullet"/>
      <w:lvlText w:val="▪"/>
      <w:lvlJc w:val="left"/>
      <w:pPr>
        <w:ind w:left="619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hy"/>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AE15B7"/>
    <w:rPr>
      <w:color w:val="0000ff" w:themeColor="hyperlink"/>
      <w:u w:val="single"/>
    </w:rPr>
  </w:style>
  <w:style w:type="character" w:styleId="UnresolvedMention">
    <w:name w:val="Unresolved Mention"/>
    <w:basedOn w:val="DefaultParagraphFont"/>
    <w:uiPriority w:val="99"/>
    <w:semiHidden w:val="1"/>
    <w:unhideWhenUsed w:val="1"/>
    <w:rsid w:val="00AE15B7"/>
    <w:rPr>
      <w:color w:val="605e5c"/>
      <w:shd w:color="auto" w:fill="e1dfdd" w:val="clear"/>
    </w:rPr>
  </w:style>
  <w:style w:type="character" w:styleId="FollowedHyperlink">
    <w:name w:val="FollowedHyperlink"/>
    <w:basedOn w:val="DefaultParagraphFont"/>
    <w:uiPriority w:val="99"/>
    <w:semiHidden w:val="1"/>
    <w:unhideWhenUsed w:val="1"/>
    <w:rsid w:val="00AE15B7"/>
    <w:rPr>
      <w:color w:val="800080" w:themeColor="followedHyperlink"/>
      <w:u w:val="single"/>
    </w:rPr>
  </w:style>
  <w:style w:type="paragraph" w:styleId="ListParagraph">
    <w:name w:val="List Paragraph"/>
    <w:basedOn w:val="Normal"/>
    <w:uiPriority w:val="34"/>
    <w:qFormat w:val="1"/>
    <w:rsid w:val="00AE15B7"/>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pply.scyp.h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tk.ppke.hu/en/department-of-armenian-studies" TargetMode="External"/><Relationship Id="rId8" Type="http://schemas.openxmlformats.org/officeDocument/2006/relationships/hyperlink" Target="mailto:armenian.studies@btk.ppke.h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5KPZdGLZAiip2LXgsnEEhodruQ==">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2024-11-24T14:51:00Z</dcterms:created>
  <dc:creator>Anatolii Tokmantcev</dc:creator>
</cp:coreProperties>
</file>